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BCEC" w14:textId="77777777" w:rsidR="007125E7" w:rsidRDefault="00402799">
      <w:pPr>
        <w:pStyle w:val="Tittel"/>
        <w:jc w:val="center"/>
      </w:pPr>
      <w:r>
        <w:t>Når kan staten gripe inn i menneskerettighetene?</w:t>
      </w:r>
    </w:p>
    <w:p w14:paraId="0CBF762A" w14:textId="77777777" w:rsidR="007125E7" w:rsidRDefault="00402799">
      <w:pPr>
        <w:jc w:val="center"/>
      </w:pPr>
      <w:r>
        <w:rPr>
          <w:i/>
          <w:sz w:val="24"/>
        </w:rPr>
        <w:t>Om lov, legitime formål og forholdsmessighet i EMK og Grunnloven</w:t>
      </w:r>
    </w:p>
    <w:p w14:paraId="2824E73A" w14:textId="77777777" w:rsidR="007125E7" w:rsidRDefault="00402799">
      <w:pPr>
        <w:jc w:val="center"/>
      </w:pPr>
      <w:r>
        <w:rPr>
          <w:b/>
        </w:rPr>
        <w:t>Marcus Costa Gåseide</w:t>
      </w:r>
    </w:p>
    <w:p w14:paraId="14F29BE0" w14:textId="480179AE" w:rsidR="00560F39" w:rsidRPr="00560F39" w:rsidRDefault="00560F39">
      <w:pPr>
        <w:pStyle w:val="Overskrift1"/>
        <w:rPr>
          <w:b w:val="0"/>
          <w:bCs w:val="0"/>
          <w:sz w:val="22"/>
          <w:szCs w:val="22"/>
        </w:rPr>
      </w:pPr>
      <w:proofErr w:type="spellStart"/>
      <w:r>
        <w:rPr>
          <w:b w:val="0"/>
          <w:bCs w:val="0"/>
          <w:sz w:val="22"/>
          <w:szCs w:val="22"/>
        </w:rPr>
        <w:t>Artikkelen</w:t>
      </w:r>
      <w:proofErr w:type="spellEnd"/>
      <w:r>
        <w:rPr>
          <w:b w:val="0"/>
          <w:bCs w:val="0"/>
          <w:sz w:val="22"/>
          <w:szCs w:val="22"/>
        </w:rPr>
        <w:t xml:space="preserve"> er </w:t>
      </w:r>
      <w:proofErr w:type="spellStart"/>
      <w:r>
        <w:rPr>
          <w:b w:val="0"/>
          <w:bCs w:val="0"/>
          <w:sz w:val="22"/>
          <w:szCs w:val="22"/>
        </w:rPr>
        <w:t>skrevet</w:t>
      </w:r>
      <w:proofErr w:type="spellEnd"/>
      <w:r>
        <w:rPr>
          <w:b w:val="0"/>
          <w:bCs w:val="0"/>
          <w:sz w:val="22"/>
          <w:szCs w:val="22"/>
        </w:rPr>
        <w:t xml:space="preserve"> </w:t>
      </w:r>
      <w:proofErr w:type="spellStart"/>
      <w:r>
        <w:rPr>
          <w:b w:val="0"/>
          <w:bCs w:val="0"/>
          <w:sz w:val="22"/>
          <w:szCs w:val="22"/>
        </w:rPr>
        <w:t>i</w:t>
      </w:r>
      <w:proofErr w:type="spellEnd"/>
      <w:r>
        <w:rPr>
          <w:b w:val="0"/>
          <w:bCs w:val="0"/>
          <w:sz w:val="22"/>
          <w:szCs w:val="22"/>
        </w:rPr>
        <w:t xml:space="preserve"> </w:t>
      </w:r>
      <w:proofErr w:type="spellStart"/>
      <w:r>
        <w:rPr>
          <w:b w:val="0"/>
          <w:bCs w:val="0"/>
          <w:sz w:val="22"/>
          <w:szCs w:val="22"/>
        </w:rPr>
        <w:t>samråd</w:t>
      </w:r>
      <w:proofErr w:type="spellEnd"/>
      <w:r>
        <w:rPr>
          <w:b w:val="0"/>
          <w:bCs w:val="0"/>
          <w:sz w:val="22"/>
          <w:szCs w:val="22"/>
        </w:rPr>
        <w:t xml:space="preserve"> med KI. </w:t>
      </w:r>
      <w:proofErr w:type="spellStart"/>
      <w:r>
        <w:rPr>
          <w:b w:val="0"/>
          <w:bCs w:val="0"/>
          <w:sz w:val="22"/>
          <w:szCs w:val="22"/>
        </w:rPr>
        <w:t>Originalartikkelen</w:t>
      </w:r>
      <w:proofErr w:type="spellEnd"/>
      <w:r>
        <w:rPr>
          <w:b w:val="0"/>
          <w:bCs w:val="0"/>
          <w:sz w:val="22"/>
          <w:szCs w:val="22"/>
        </w:rPr>
        <w:t xml:space="preserve"> </w:t>
      </w:r>
      <w:proofErr w:type="spellStart"/>
      <w:r>
        <w:rPr>
          <w:b w:val="0"/>
          <w:bCs w:val="0"/>
          <w:sz w:val="22"/>
          <w:szCs w:val="22"/>
        </w:rPr>
        <w:t>finnes</w:t>
      </w:r>
      <w:proofErr w:type="spellEnd"/>
      <w:r>
        <w:rPr>
          <w:b w:val="0"/>
          <w:bCs w:val="0"/>
          <w:sz w:val="22"/>
          <w:szCs w:val="22"/>
        </w:rPr>
        <w:t xml:space="preserve"> </w:t>
      </w:r>
      <w:proofErr w:type="spellStart"/>
      <w:r>
        <w:rPr>
          <w:b w:val="0"/>
          <w:bCs w:val="0"/>
          <w:sz w:val="22"/>
          <w:szCs w:val="22"/>
        </w:rPr>
        <w:t>på</w:t>
      </w:r>
      <w:proofErr w:type="spellEnd"/>
      <w:r>
        <w:rPr>
          <w:b w:val="0"/>
          <w:bCs w:val="0"/>
          <w:sz w:val="22"/>
          <w:szCs w:val="22"/>
        </w:rPr>
        <w:t xml:space="preserve"> emk8.com. </w:t>
      </w:r>
    </w:p>
    <w:p w14:paraId="2AC757DD" w14:textId="24C42CAC" w:rsidR="007125E7" w:rsidRDefault="00402799">
      <w:pPr>
        <w:pStyle w:val="Overskrift1"/>
      </w:pPr>
      <w:proofErr w:type="spellStart"/>
      <w:r>
        <w:t>Sammendrag</w:t>
      </w:r>
      <w:proofErr w:type="spellEnd"/>
    </w:p>
    <w:p w14:paraId="3C82912D" w14:textId="77777777" w:rsidR="007125E7" w:rsidRDefault="00402799">
      <w:pPr>
        <w:jc w:val="both"/>
      </w:pPr>
      <w:r>
        <w:t xml:space="preserve">Artikkelen analyserer de grunnleggende vilkårene for lovlige inngrep i menneskerettigheter etter Den europeiske menneskerettighetskonvensjon (EMK) og Grunnloven. Fremstillingen tar særlig utgangspunkt i EMK artikkel 8 og praksis fra Den europeiske menneskerettighetsdomstol (EMD). Hovedpoenget er at moderne menneskerettighetsvern ikke bare handler om hvilke rettigheter individet har, men om hvilke begrunnelser staten må kunne gi for å gripe inn i dem. Inngrep må ha hjemmel i lov, forfølge et legitimt formål </w:t>
      </w:r>
      <w:r>
        <w:t>og være nødvendig og forholdsmessig i et demokratisk samfunn. Til sammen fungerer disse vilkårene som kontrollmekanismer mot vilkårlig maktbruk.</w:t>
      </w:r>
    </w:p>
    <w:p w14:paraId="780847A8" w14:textId="77777777" w:rsidR="007125E7" w:rsidRDefault="00402799">
      <w:pPr>
        <w:pStyle w:val="Overskrift1"/>
      </w:pPr>
      <w:r>
        <w:t>Om forfatteren</w:t>
      </w:r>
    </w:p>
    <w:p w14:paraId="70B1EFD7" w14:textId="77777777" w:rsidR="007125E7" w:rsidRDefault="00402799">
      <w:pPr>
        <w:jc w:val="both"/>
      </w:pPr>
      <w:r>
        <w:t>Marcus Costa Gåseide er jurist med advokatbevilling og arbeider som rådgiver i Samferdselsdepartementet. Han har bakgrunn fra PwC og kommuneadvokatvirksomhet, og skriver blant annet om menneskerettigheter, forholdsmessighet og forholdet mellom individ og stat.</w:t>
      </w:r>
    </w:p>
    <w:p w14:paraId="754AF606" w14:textId="77777777" w:rsidR="007125E7" w:rsidRDefault="00402799">
      <w:pPr>
        <w:jc w:val="both"/>
      </w:pPr>
      <w:r>
        <w:t>Nettside: https://www.emk8.com</w:t>
      </w:r>
    </w:p>
    <w:p w14:paraId="57CD4C2C" w14:textId="77777777" w:rsidR="007125E7" w:rsidRDefault="00402799">
      <w:pPr>
        <w:pStyle w:val="Overskrift1"/>
      </w:pPr>
      <w:r>
        <w:t>1. Innledning</w:t>
      </w:r>
    </w:p>
    <w:p w14:paraId="79F027E5" w14:textId="77777777" w:rsidR="007125E7" w:rsidRDefault="00402799">
      <w:pPr>
        <w:jc w:val="both"/>
      </w:pPr>
      <w:r>
        <w:t>Menneskerettigheter fremstilles ofte som absolutte grenser staten ikke kan overskride. Dette bildet er bare delvis riktig.</w:t>
      </w:r>
    </w:p>
    <w:p w14:paraId="0D377C52" w14:textId="77777777" w:rsidR="007125E7" w:rsidRDefault="00402799">
      <w:pPr>
        <w:jc w:val="both"/>
      </w:pPr>
      <w:r>
        <w:t>Enkelte rettigheter er ubetingede, slik som forbudet mot tortur og slaveri etter EMK artikkel 3 og 4. De fleste sentrale frihetsrettighetene er derimot relative. Staten kan gripe inn i dem dersom bestemte vilkår er oppfylt.</w:t>
      </w:r>
    </w:p>
    <w:p w14:paraId="24A9207F" w14:textId="77777777" w:rsidR="007125E7" w:rsidRDefault="00402799">
      <w:pPr>
        <w:jc w:val="both"/>
      </w:pPr>
      <w:r>
        <w:t>Dette gjelder blant annet retten til privatliv, ytringsfrihet, religionsfrihet og organisasjonsfrihet. Spørsmålet er derfor ikke bare hvilke rettigheter individet har, men når staten kan begrense dem uten å krenke menneskerettighetene.</w:t>
      </w:r>
    </w:p>
    <w:p w14:paraId="07505F4A" w14:textId="77777777" w:rsidR="007125E7" w:rsidRDefault="00402799">
      <w:pPr>
        <w:jc w:val="both"/>
      </w:pPr>
      <w:r>
        <w:t>Et grunnleggende menneskerettslig utgangspunkt er statens plikt til å respektere og sikre menneskerettighetene, jf. Grunnloven § 92 og EMK artikkel 1. Samtidig bygger menneskerettssystemet på erkjennelsen av at ulike rettigheter og samfunnshensyn tidvis vil kollidere. Moderne menneskerettighetsvern handler derfor ikke bare om frihet fra staten, men om hvilke begrunnelser staten må kunne gi for å gripe inn i individets frihet.</w:t>
      </w:r>
    </w:p>
    <w:p w14:paraId="3164415F" w14:textId="77777777" w:rsidR="007125E7" w:rsidRDefault="00402799">
      <w:pPr>
        <w:jc w:val="both"/>
      </w:pPr>
      <w:r>
        <w:lastRenderedPageBreak/>
        <w:t>Artikkelen analyserer de grunnleggende vilkårene for inngrep i relative menneskerettigheter etter EMK og Grunnloven. Fremstillingen tar særlig utgangspunkt i EMK artikkel 8, men analysen har overføringsverdi til flere av konvensjonens frihetsrettigheter.</w:t>
      </w:r>
    </w:p>
    <w:p w14:paraId="6E2CA8C9" w14:textId="77777777" w:rsidR="007125E7" w:rsidRDefault="00402799">
      <w:pPr>
        <w:jc w:val="both"/>
      </w:pPr>
      <w:r>
        <w:t>EMK artikkel 8 oppstiller tre kumulative vilkår for lovlige inngrep: Inngrepet må ha hjemmel i lov, det må forfølge et legitimt formål, og det må være nødvendig i et demokratisk samfunn. Disse vilkårene fungerer ikke bare som separate krav, men som integrerte kontrollmekanismer for statlig maktutøvelse. Gjennom legalitet, formålsrasjonalitet og forholdsmessighet søker EMK-systemet å sikre at inngrep i individets frihet er offentlig begrunnet, rettslig kontrollerbare og materielt forsvarlige.</w:t>
      </w:r>
    </w:p>
    <w:p w14:paraId="4254079A" w14:textId="77777777" w:rsidR="007125E7" w:rsidRDefault="00402799">
      <w:pPr>
        <w:pStyle w:val="Overskrift1"/>
      </w:pPr>
      <w:r>
        <w:t>2. Lovskravet</w:t>
      </w:r>
    </w:p>
    <w:p w14:paraId="2CB47E08" w14:textId="77777777" w:rsidR="007125E7" w:rsidRDefault="00402799">
      <w:pPr>
        <w:jc w:val="both"/>
      </w:pPr>
      <w:r>
        <w:t>Lovskravet er en grunnleggende rettsstatlig garanti. Etter EMK artikkel 8 nr. 2 må inngrepet være “in accordance with the law”. Tilsvarende følger det av Grunnloven § 113 at offentlige myndigheter må ha hjemmel i lov for å gripe inn overfor individet.</w:t>
      </w:r>
    </w:p>
    <w:p w14:paraId="2353BFA4" w14:textId="77777777" w:rsidR="007125E7" w:rsidRDefault="00402799">
      <w:pPr>
        <w:jc w:val="both"/>
      </w:pPr>
      <w:r>
        <w:t>Lovskravet handler ikke bare om at det må eksistere en hjemmel. Hjemmelen må også være tilstrekkelig tilgjengelig og presis. Borgeren skal kunne forutse de rettslige konsekvensene av egne handlinger.</w:t>
      </w:r>
    </w:p>
    <w:p w14:paraId="5EEBBC09" w14:textId="77777777" w:rsidR="007125E7" w:rsidRDefault="00402799">
      <w:pPr>
        <w:jc w:val="both"/>
      </w:pPr>
      <w:r>
        <w:t>EMD understreket allerede i Sunday Times-dommen at loven må være formulert slik at individet, eventuelt med juridisk bistand, kan forutse hvilke konsekvenser handlingene kan få.</w:t>
      </w:r>
    </w:p>
    <w:p w14:paraId="14998DB9" w14:textId="77777777" w:rsidR="007125E7" w:rsidRDefault="00402799">
      <w:pPr>
        <w:jc w:val="both"/>
      </w:pPr>
      <w:r>
        <w:t>Dette er nært knyttet til lovskravets begrunnelse. Kravet skal motvirke vilkårlig maktbruk og sikre forutberegnelighet. Samtidig skal det bidra til maktspredning ved at inngrep i individets frihet må forankres i demokratiske beslutningsprosesser.</w:t>
      </w:r>
    </w:p>
    <w:p w14:paraId="61DEADA0" w14:textId="77777777" w:rsidR="007125E7" w:rsidRDefault="00402799">
      <w:pPr>
        <w:jc w:val="both"/>
      </w:pPr>
      <w:r>
        <w:t>Lovskravet reiser flere spørsmål. Det må for det første foreligge et anerkjent rettsgrunnlag for inngrepet. Etter EMK omfatter dette ikke bare formell lov, men også ulovfestet rett. EMD har i Sunday Times-dommen slått fast at begrepet “law” omfatter “not only statute, but also unwritten law”.</w:t>
      </w:r>
    </w:p>
    <w:p w14:paraId="36B7AE8A" w14:textId="77777777" w:rsidR="007125E7" w:rsidRDefault="00402799">
      <w:pPr>
        <w:jc w:val="both"/>
      </w:pPr>
      <w:r>
        <w:t>Dette skiller seg fra Grunnlovens lovskrav, som tradisjonelt er strengere og i utgangspunktet krever hjemmel i formell lov.</w:t>
      </w:r>
    </w:p>
    <w:p w14:paraId="3FAFAEB0" w14:textId="77777777" w:rsidR="007125E7" w:rsidRDefault="00402799">
      <w:pPr>
        <w:jc w:val="both"/>
      </w:pPr>
      <w:r>
        <w:t>Videre må hjemmelen faktisk dekke det konkrete forholdet. Det er ikke tilstrekkelig at staten viser til en generell kompetansebestemmelse dersom inngrepet ligger utenfor bestemmelsens reelle rekkevidde.</w:t>
      </w:r>
    </w:p>
    <w:p w14:paraId="51CD6583" w14:textId="77777777" w:rsidR="007125E7" w:rsidRDefault="00402799">
      <w:pPr>
        <w:jc w:val="both"/>
      </w:pPr>
      <w:r>
        <w:t>Endelig må hjemmelen oppfylle visse kvalitetskrav. Den må være tilstrekkelig tilgjengelig og presis. Her oppstår en grunnleggende spenning mellom forutberegnelighet og fleksibilitet.</w:t>
      </w:r>
    </w:p>
    <w:p w14:paraId="4FBC28AF" w14:textId="77777777" w:rsidR="007125E7" w:rsidRDefault="00402799">
      <w:pPr>
        <w:jc w:val="both"/>
      </w:pPr>
      <w:r>
        <w:t>På den ene siden krever rettsstaten klare regler. På den andre siden må lovgivningen kunne tilpasses et samfunn i stadig endring. EMD har derfor akseptert en viss grad av vaghet, særlig på komplekse samfunnsområder. Samtidig understrekes det at unødvendig vaghet må unngås, særlig der inngrepene er alvorlige.</w:t>
      </w:r>
    </w:p>
    <w:p w14:paraId="0071901A" w14:textId="77777777" w:rsidR="007125E7" w:rsidRDefault="00402799">
      <w:pPr>
        <w:jc w:val="both"/>
      </w:pPr>
      <w:r>
        <w:t>Jo mer inngripende tiltaket er, desto strengere krav stilles til hjemmelens klarhet. Dette gjelder særlig inngrep i klassiske frihetsrettigheter som privatliv, personlig integritet og ytringsfrihet.</w:t>
      </w:r>
    </w:p>
    <w:p w14:paraId="1FB1F6B6" w14:textId="77777777" w:rsidR="007125E7" w:rsidRDefault="00402799">
      <w:pPr>
        <w:pStyle w:val="Overskrift1"/>
      </w:pPr>
      <w:r>
        <w:lastRenderedPageBreak/>
        <w:t>3. Kravet om legitimt formål</w:t>
      </w:r>
    </w:p>
    <w:p w14:paraId="09525F9D" w14:textId="77777777" w:rsidR="007125E7" w:rsidRDefault="00402799">
      <w:pPr>
        <w:jc w:val="both"/>
      </w:pPr>
      <w:r>
        <w:t>Det er ikke tilstrekkelig at inngrepet har hjemmel i lov. Staten må også kunne vise til et legitimt formål.</w:t>
      </w:r>
    </w:p>
    <w:p w14:paraId="382AD18E" w14:textId="77777777" w:rsidR="007125E7" w:rsidRDefault="00402799">
      <w:pPr>
        <w:jc w:val="both"/>
      </w:pPr>
      <w:r>
        <w:t>EMK artikkel 8 nr. 2 oppstiller flere legitime formål, blant annet nasjonal sikkerhet, offentlig trygghet, forebygging av kriminalitet og vern av andres rettigheter og friheter. Opplistingen er uttømmende og skal tolkes snevert.</w:t>
      </w:r>
    </w:p>
    <w:p w14:paraId="5DB609AA" w14:textId="77777777" w:rsidR="007125E7" w:rsidRDefault="00402799">
      <w:pPr>
        <w:jc w:val="both"/>
      </w:pPr>
      <w:r>
        <w:t>Formålskravet fyller en viktig funksjon i moderne menneskerettighetsvern. Staten kan ikke gripe inn i frihetsrettigheter på grunnlag av rene moralske preferanser eller diffuse politiske ønsker. Inngrepet må være offentlig begrunnet og forankret i hensyn som er relevante i et demokratisk samfunn.</w:t>
      </w:r>
    </w:p>
    <w:p w14:paraId="2B9DB585" w14:textId="77777777" w:rsidR="007125E7" w:rsidRDefault="00402799">
      <w:pPr>
        <w:jc w:val="both"/>
      </w:pPr>
      <w:r>
        <w:t>Kravet handler dermed ikke bare om hvilke mål staten forfølger, men om kvaliteten på begrunnelsen. Myndighetene må synliggjøre hvorfor inngrepet faktisk anses nødvendig.</w:t>
      </w:r>
    </w:p>
    <w:p w14:paraId="5C498555" w14:textId="77777777" w:rsidR="007125E7" w:rsidRDefault="00402799">
      <w:pPr>
        <w:jc w:val="both"/>
      </w:pPr>
      <w:r>
        <w:t>Dette illustrerer en grunnleggende utvikling i moderne menneskerettighetstenkning: Fokus flyttes gradvis fra moralbasert styring til begrunnelsesbasert styring.</w:t>
      </w:r>
    </w:p>
    <w:p w14:paraId="0B8CFBCD" w14:textId="77777777" w:rsidR="007125E7" w:rsidRDefault="00402799">
      <w:pPr>
        <w:jc w:val="both"/>
      </w:pPr>
      <w:r>
        <w:t>Høyesterett har på tilsvarende måte lagt til grunn at inngrep i Grunnlovens menneskerettigheter må være “saklig begrunnet”, jf. Rt. 2014 s. 1105 avsnitt 28.</w:t>
      </w:r>
    </w:p>
    <w:p w14:paraId="3AA4ACDB" w14:textId="77777777" w:rsidR="007125E7" w:rsidRDefault="00402799">
      <w:pPr>
        <w:pStyle w:val="Overskrift1"/>
      </w:pPr>
      <w:r>
        <w:t>4. Nødvendighet og forholdsmessighet</w:t>
      </w:r>
    </w:p>
    <w:p w14:paraId="5A882F0A" w14:textId="77777777" w:rsidR="007125E7" w:rsidRDefault="00402799">
      <w:pPr>
        <w:jc w:val="both"/>
      </w:pPr>
      <w:r>
        <w:t>Det mest sentrale inngrepsvilkåret er forholdsmessighet.</w:t>
      </w:r>
    </w:p>
    <w:p w14:paraId="35817889" w14:textId="77777777" w:rsidR="007125E7" w:rsidRDefault="00402799">
      <w:pPr>
        <w:jc w:val="both"/>
      </w:pPr>
      <w:r>
        <w:t>Selv lovhjemlede inngrep med legitime formål kan være menneskerettsstridige dersom staten går lenger enn nødvendig. Her skjer den reelle avveiningen mellom individets frihet og samfunnets interesser.</w:t>
      </w:r>
    </w:p>
    <w:p w14:paraId="42F9FACF" w14:textId="77777777" w:rsidR="007125E7" w:rsidRDefault="00402799">
      <w:pPr>
        <w:jc w:val="both"/>
      </w:pPr>
      <w:r>
        <w:t>Etter EMK artikkel 8 nr. 2 må inngrepet være “necessary in a democratic society”. EMD har gjennom praksis presisert at dette innebærer et krav om et “pressing social need”. Det er ikke tilstrekkelig at inngrepet fremstår som nyttig, praktisk eller politisk ønskelig.</w:t>
      </w:r>
    </w:p>
    <w:p w14:paraId="0B17A547" w14:textId="77777777" w:rsidR="007125E7" w:rsidRDefault="00402799">
      <w:pPr>
        <w:jc w:val="both"/>
      </w:pPr>
      <w:r>
        <w:t>Nødvendighetskravet innebærer videre at det må være en reell sammenheng mellom formålet og tiltaket. Dersom formålet kan oppnås med mindre inngripende midler, vil inngrepet normalt ikke være nødvendig.</w:t>
      </w:r>
    </w:p>
    <w:p w14:paraId="252C529C" w14:textId="77777777" w:rsidR="007125E7" w:rsidRDefault="00402799">
      <w:pPr>
        <w:jc w:val="both"/>
      </w:pPr>
      <w:r>
        <w:t>Dette viser at forholdsmessighetsvurderingen består av flere komponenter. Staten må kunne vise at det foreligger et tilstrekkelig tungtveiende samfunnsmessig behov, at tiltaket faktisk er egnet til å oppnå formålet, og at mindre inngripende alternativer ikke er tilstrekkelige.</w:t>
      </w:r>
    </w:p>
    <w:p w14:paraId="3069FEE4" w14:textId="77777777" w:rsidR="007125E7" w:rsidRDefault="00402799">
      <w:pPr>
        <w:jc w:val="both"/>
      </w:pPr>
      <w:r>
        <w:t>I praksis fungerer forholdsmessighetsvurderingen som en avveiningsnorm. EMD foretar en konkret vurdering av forholdet mellom inngrepsstyrken på den ene siden og inngrepsgrunnene på den andre.</w:t>
      </w:r>
    </w:p>
    <w:p w14:paraId="6D6450F5" w14:textId="77777777" w:rsidR="007125E7" w:rsidRDefault="00402799">
      <w:pPr>
        <w:jc w:val="both"/>
      </w:pPr>
      <w:r>
        <w:t>Jo mer alvorlig inngrepet er, desto tyngre må begrunnelsen være.</w:t>
      </w:r>
    </w:p>
    <w:p w14:paraId="3C82C8EE" w14:textId="77777777" w:rsidR="007125E7" w:rsidRDefault="00402799">
      <w:pPr>
        <w:jc w:val="both"/>
      </w:pPr>
      <w:r>
        <w:t>Dette er særlig synlig i saker som gjelder privatliv, familieliv og ytringsfrihet, hvor EMD gjennomgående foretar en intensiv kontroll av statens begrunnelser.</w:t>
      </w:r>
    </w:p>
    <w:p w14:paraId="00632AF5" w14:textId="77777777" w:rsidR="007125E7" w:rsidRDefault="00402799">
      <w:pPr>
        <w:jc w:val="both"/>
      </w:pPr>
      <w:r>
        <w:lastRenderedPageBreak/>
        <w:t>Menneskerettighetene beskytter dermed ikke bare mot vilkårlig maktbruk, men også mot unødvendig eller dårlig begrunnet maktbruk.</w:t>
      </w:r>
    </w:p>
    <w:p w14:paraId="777399F8" w14:textId="77777777" w:rsidR="007125E7" w:rsidRDefault="00402799">
      <w:pPr>
        <w:pStyle w:val="Overskrift1"/>
      </w:pPr>
      <w:r>
        <w:t>5. Skjønnsmarginen</w:t>
      </w:r>
    </w:p>
    <w:p w14:paraId="28E6BC4D" w14:textId="77777777" w:rsidR="007125E7" w:rsidRDefault="00402799">
      <w:pPr>
        <w:jc w:val="both"/>
      </w:pPr>
      <w:r>
        <w:t>Et sentralt spørsmål er hvor intensiv denne kontrollen skal være.</w:t>
      </w:r>
    </w:p>
    <w:p w14:paraId="36D2ABC4" w14:textId="77777777" w:rsidR="007125E7" w:rsidRDefault="00402799">
      <w:pPr>
        <w:jc w:val="both"/>
      </w:pPr>
      <w:r>
        <w:t>EMD har utviklet læren om den nasjonale skjønnsmarginen for å balansere hensynet til nasjonal suverenitet mot behovet for internasjonal kontroll. Utgangspunktet er at nasjonale myndigheter i visse situasjoner er nærmere til å vurdere lokale forhold enn en internasjonal domstol.</w:t>
      </w:r>
    </w:p>
    <w:p w14:paraId="4B145738" w14:textId="77777777" w:rsidR="007125E7" w:rsidRDefault="00402799">
      <w:pPr>
        <w:jc w:val="both"/>
      </w:pPr>
      <w:r>
        <w:t>Hvor vid skjønnsmargin staten får, varierer. Marginen er typisk snever ved inngrep i sentrale frihetsrettigheter eller hvor det eksisterer europeisk konsensus. Den er ofte videre på områder preget av moral, religion, kriminalpolitikk eller økonomiske vurderinger.</w:t>
      </w:r>
    </w:p>
    <w:p w14:paraId="6662D117" w14:textId="77777777" w:rsidR="007125E7" w:rsidRDefault="00402799">
      <w:pPr>
        <w:jc w:val="both"/>
      </w:pPr>
      <w:r>
        <w:t>Dette innebærer likevel ikke at statene står fritt. EMD forbeholder seg alltid retten til å foreta den endelige vurderingen av om inngrepet er forenlig med konvensjonen.</w:t>
      </w:r>
    </w:p>
    <w:p w14:paraId="77FC3FB6" w14:textId="77777777" w:rsidR="007125E7" w:rsidRDefault="00402799">
      <w:pPr>
        <w:jc w:val="both"/>
      </w:pPr>
      <w:r>
        <w:t>Skjønnsmarginen er derfor ikke et unntak fra menneskerettighetskontrollen, men en del av den.</w:t>
      </w:r>
    </w:p>
    <w:p w14:paraId="23251996" w14:textId="77777777" w:rsidR="007125E7" w:rsidRDefault="00402799">
      <w:pPr>
        <w:pStyle w:val="Overskrift1"/>
      </w:pPr>
      <w:r>
        <w:t>6. Avslutning</w:t>
      </w:r>
    </w:p>
    <w:p w14:paraId="61535BB1" w14:textId="77777777" w:rsidR="007125E7" w:rsidRDefault="00402799">
      <w:pPr>
        <w:jc w:val="both"/>
      </w:pPr>
      <w:r>
        <w:t>Menneskerettighetene handler ikke bare om hvilke rettigheter individet har på papiret. De handler om hvilke begrunnelser staten må kunne gi for å gripe inn i dem.</w:t>
      </w:r>
    </w:p>
    <w:p w14:paraId="55F18B16" w14:textId="77777777" w:rsidR="007125E7" w:rsidRDefault="00402799">
      <w:pPr>
        <w:jc w:val="both"/>
      </w:pPr>
      <w:r>
        <w:t>Lovskravet skal sikre forutberegnelighet og beskytte mot vilkårlig maktbruk. Formålskravet tvinger staten til å synliggjøre hvorfor inngrepet anses nødvendig. Forholdsmessighetsvurderingen krever at inngrepet står i rimelig forhold til formålet og at mindre inngripende alternativer vurderes.</w:t>
      </w:r>
    </w:p>
    <w:p w14:paraId="2E71B983" w14:textId="77777777" w:rsidR="007125E7" w:rsidRDefault="00402799">
      <w:pPr>
        <w:jc w:val="both"/>
      </w:pPr>
      <w:r>
        <w:t>Til sammen utgjør disse vilkårene kjernen i den moderne rettsstaten.</w:t>
      </w:r>
    </w:p>
    <w:p w14:paraId="5BE6AD5B" w14:textId="77777777" w:rsidR="007125E7" w:rsidRDefault="00402799">
      <w:pPr>
        <w:jc w:val="both"/>
      </w:pPr>
      <w:r>
        <w:t>Det avgjørende spørsmålet er derfor ikke bare om staten kan gripe inn i individets frihet, men om den kan begrunne inngrepet på en måte som tåler rettslig kontroll.</w:t>
      </w:r>
    </w:p>
    <w:sectPr w:rsidR="007125E7"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num w:numId="1" w16cid:durableId="1870486985">
    <w:abstractNumId w:val="8"/>
  </w:num>
  <w:num w:numId="2" w16cid:durableId="803229247">
    <w:abstractNumId w:val="6"/>
  </w:num>
  <w:num w:numId="3" w16cid:durableId="1440183010">
    <w:abstractNumId w:val="5"/>
  </w:num>
  <w:num w:numId="4" w16cid:durableId="1647080043">
    <w:abstractNumId w:val="4"/>
  </w:num>
  <w:num w:numId="5" w16cid:durableId="600797281">
    <w:abstractNumId w:val="7"/>
  </w:num>
  <w:num w:numId="6" w16cid:durableId="136453759">
    <w:abstractNumId w:val="3"/>
  </w:num>
  <w:num w:numId="7" w16cid:durableId="1917587812">
    <w:abstractNumId w:val="2"/>
  </w:num>
  <w:num w:numId="8" w16cid:durableId="296033764">
    <w:abstractNumId w:val="1"/>
  </w:num>
  <w:num w:numId="9" w16cid:durableId="114708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2799"/>
    <w:rsid w:val="00560F39"/>
    <w:rsid w:val="005D3F1F"/>
    <w:rsid w:val="007125E7"/>
    <w:rsid w:val="00A828F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41C72"/>
  <w14:defaultImageDpi w14:val="300"/>
  <w15:docId w15:val="{45EAD728-C84F-BA46-A255-37A71D2D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60"/>
    </w:pPr>
    <w:rPr>
      <w:rFonts w:ascii="Arial" w:eastAsia="Arial" w:hAnsi="Arial"/>
    </w:rPr>
  </w:style>
  <w:style w:type="paragraph" w:styleId="Overskrift1">
    <w:name w:val="heading 1"/>
    <w:basedOn w:val="Normal"/>
    <w:next w:val="Normal"/>
    <w:link w:val="Overskrift1Tegn"/>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40"/>
      <w:outlineLvl w:val="1"/>
    </w:pPr>
    <w:rPr>
      <w:rFonts w:asciiTheme="majorHAnsi" w:eastAsiaTheme="majorEastAsia" w:hAnsiTheme="majorHAnsi" w:cstheme="majorBidi"/>
      <w:b/>
      <w:bCs/>
      <w:color w:val="4F81BD" w:themeColor="accent1"/>
      <w:sz w:val="24"/>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before="240" w:line="240" w:lineRule="auto"/>
      <w:contextualSpacing/>
    </w:pPr>
    <w:rPr>
      <w:rFonts w:asciiTheme="majorHAnsi" w:eastAsiaTheme="majorEastAsia" w:hAnsiTheme="majorHAnsi" w:cstheme="majorBidi"/>
      <w:b/>
      <w:color w:val="17365D" w:themeColor="text2" w:themeShade="BF"/>
      <w:spacing w:val="5"/>
      <w:kern w:val="28"/>
      <w:sz w:val="36"/>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8192</Characters>
  <Application>Microsoft Office Word</Application>
  <DocSecurity>0</DocSecurity>
  <Lines>132</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Marcus Costa Gåseide</cp:lastModifiedBy>
  <cp:revision>2</cp:revision>
  <dcterms:created xsi:type="dcterms:W3CDTF">2026-05-19T09:38:00Z</dcterms:created>
  <dcterms:modified xsi:type="dcterms:W3CDTF">2026-05-19T09:38:00Z</dcterms:modified>
  <cp:category/>
</cp:coreProperties>
</file>